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740EC" w14:textId="77777777" w:rsidR="00B22A2E" w:rsidRDefault="00660087">
      <w:pPr>
        <w:spacing w:after="0"/>
        <w:rPr>
          <w:b/>
          <w:sz w:val="36"/>
          <w:szCs w:val="36"/>
        </w:rPr>
      </w:pPr>
      <w:r>
        <w:rPr>
          <w:b/>
          <w:noProof/>
          <w:sz w:val="36"/>
          <w:szCs w:val="36"/>
        </w:rPr>
        <w:drawing>
          <wp:inline distT="114300" distB="114300" distL="114300" distR="114300" wp14:anchorId="7C9FA6BE" wp14:editId="13CCB2B3">
            <wp:extent cx="6858000" cy="13462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858000" cy="1346200"/>
                    </a:xfrm>
                    <a:prstGeom prst="rect">
                      <a:avLst/>
                    </a:prstGeom>
                    <a:ln/>
                  </pic:spPr>
                </pic:pic>
              </a:graphicData>
            </a:graphic>
          </wp:inline>
        </w:drawing>
      </w:r>
    </w:p>
    <w:p w14:paraId="06E2654B" w14:textId="77777777" w:rsidR="006D61A6" w:rsidRPr="006D61A6" w:rsidRDefault="006D61A6">
      <w:pPr>
        <w:spacing w:after="0"/>
        <w:rPr>
          <w:rFonts w:ascii="Arial" w:hAnsi="Arial" w:cs="Arial"/>
          <w:sz w:val="36"/>
          <w:szCs w:val="36"/>
        </w:rPr>
      </w:pPr>
      <w:bookmarkStart w:id="0" w:name="_heading=h.6asgqx5d63fr" w:colFirst="0" w:colLast="0"/>
      <w:bookmarkEnd w:id="0"/>
      <w:r w:rsidRPr="006D61A6">
        <w:rPr>
          <w:rFonts w:ascii="Arial" w:hAnsi="Arial" w:cs="Arial"/>
          <w:sz w:val="36"/>
          <w:szCs w:val="36"/>
        </w:rPr>
        <w:t>Wastewater Collection</w:t>
      </w:r>
    </w:p>
    <w:p w14:paraId="3654B3A1" w14:textId="77777777" w:rsidR="00B22A2E" w:rsidRPr="006D61A6" w:rsidRDefault="006D61A6">
      <w:pPr>
        <w:spacing w:after="0"/>
        <w:rPr>
          <w:rFonts w:ascii="Arial" w:hAnsi="Arial" w:cs="Arial"/>
          <w:sz w:val="36"/>
          <w:szCs w:val="36"/>
        </w:rPr>
      </w:pPr>
      <w:r w:rsidRPr="006D61A6">
        <w:rPr>
          <w:rFonts w:ascii="Arial" w:eastAsia="Arial" w:hAnsi="Arial" w:cs="Arial"/>
          <w:noProof/>
          <w:szCs w:val="21"/>
        </w:rPr>
        <w:drawing>
          <wp:anchor distT="114300" distB="114300" distL="114300" distR="114300" simplePos="0" relativeHeight="251658240" behindDoc="0" locked="0" layoutInCell="1" hidden="0" allowOverlap="1" wp14:anchorId="08390212" wp14:editId="0E111827">
            <wp:simplePos x="0" y="0"/>
            <wp:positionH relativeFrom="margin">
              <wp:align>right</wp:align>
            </wp:positionH>
            <wp:positionV relativeFrom="margin">
              <wp:posOffset>1657350</wp:posOffset>
            </wp:positionV>
            <wp:extent cx="1562100" cy="3762375"/>
            <wp:effectExtent l="0" t="0" r="0" b="9525"/>
            <wp:wrapSquare wrapText="bothSides" distT="114300" distB="114300" distL="114300" distR="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562100" cy="3762375"/>
                    </a:xfrm>
                    <a:prstGeom prst="rect">
                      <a:avLst/>
                    </a:prstGeom>
                    <a:ln/>
                  </pic:spPr>
                </pic:pic>
              </a:graphicData>
            </a:graphic>
          </wp:anchor>
        </w:drawing>
      </w:r>
      <w:r w:rsidR="00660087" w:rsidRPr="006D61A6">
        <w:rPr>
          <w:rFonts w:ascii="Arial" w:hAnsi="Arial" w:cs="Arial"/>
          <w:sz w:val="36"/>
          <w:szCs w:val="36"/>
        </w:rPr>
        <w:t>Student Activity Sheet</w:t>
      </w:r>
    </w:p>
    <w:p w14:paraId="6A7C08F8" w14:textId="77777777" w:rsidR="006D61A6" w:rsidRPr="006D61A6" w:rsidRDefault="00660087" w:rsidP="006D61A6">
      <w:pPr>
        <w:widowControl w:val="0"/>
        <w:spacing w:before="288" w:after="0" w:line="276" w:lineRule="auto"/>
        <w:ind w:right="177"/>
        <w:rPr>
          <w:rFonts w:ascii="Arial" w:eastAsia="Arial" w:hAnsi="Arial" w:cs="Arial"/>
          <w:b/>
          <w:sz w:val="24"/>
          <w:szCs w:val="24"/>
        </w:rPr>
      </w:pPr>
      <w:r w:rsidRPr="006D61A6">
        <w:rPr>
          <w:rFonts w:ascii="Arial" w:eastAsia="Arial" w:hAnsi="Arial" w:cs="Arial"/>
          <w:b/>
          <w:sz w:val="24"/>
          <w:szCs w:val="24"/>
        </w:rPr>
        <w:t>Task 1</w:t>
      </w:r>
      <w:r w:rsidR="006D61A6">
        <w:rPr>
          <w:rFonts w:ascii="Arial" w:eastAsia="Arial" w:hAnsi="Arial" w:cs="Arial"/>
          <w:b/>
          <w:sz w:val="24"/>
          <w:szCs w:val="24"/>
        </w:rPr>
        <w:t xml:space="preserve">: </w:t>
      </w:r>
      <w:r w:rsidRPr="006D61A6">
        <w:rPr>
          <w:rFonts w:ascii="Arial" w:eastAsia="Arial" w:hAnsi="Arial" w:cs="Arial"/>
          <w:b/>
          <w:sz w:val="24"/>
          <w:szCs w:val="24"/>
        </w:rPr>
        <w:t xml:space="preserve">Pipe Capacity </w:t>
      </w:r>
    </w:p>
    <w:p w14:paraId="3370F7FF" w14:textId="77777777" w:rsidR="00B22A2E" w:rsidRPr="006D61A6" w:rsidRDefault="00660087" w:rsidP="006D61A6">
      <w:pPr>
        <w:widowControl w:val="0"/>
        <w:spacing w:after="0" w:line="276" w:lineRule="auto"/>
        <w:ind w:right="177"/>
        <w:rPr>
          <w:rFonts w:ascii="Arial" w:eastAsia="Arial" w:hAnsi="Arial" w:cs="Arial"/>
        </w:rPr>
      </w:pPr>
      <w:r w:rsidRPr="006D61A6">
        <w:rPr>
          <w:rFonts w:ascii="Arial" w:eastAsia="Arial" w:hAnsi="Arial" w:cs="Arial"/>
        </w:rPr>
        <w:t xml:space="preserve">Sewers </w:t>
      </w:r>
      <w:r w:rsidR="006D61A6" w:rsidRPr="006D61A6">
        <w:rPr>
          <w:rFonts w:ascii="Arial" w:eastAsia="Arial" w:hAnsi="Arial" w:cs="Arial"/>
        </w:rPr>
        <w:t>must</w:t>
      </w:r>
      <w:r w:rsidRPr="006D61A6">
        <w:rPr>
          <w:rFonts w:ascii="Arial" w:eastAsia="Arial" w:hAnsi="Arial" w:cs="Arial"/>
        </w:rPr>
        <w:t xml:space="preserve"> be sized to handle the area that they will serve. When the service area is new, engineers use </w:t>
      </w:r>
      <w:r w:rsidRPr="006D61A6">
        <w:rPr>
          <w:rFonts w:ascii="Arial" w:eastAsia="Arial" w:hAnsi="Arial" w:cs="Arial"/>
          <w:i/>
        </w:rPr>
        <w:t>unit flow rate factors</w:t>
      </w:r>
      <w:r w:rsidRPr="006D61A6">
        <w:rPr>
          <w:rFonts w:ascii="Arial" w:eastAsia="Arial" w:hAnsi="Arial" w:cs="Arial"/>
        </w:rPr>
        <w:t xml:space="preserve"> to determine the flowrate the sewer will need to handle. </w:t>
      </w:r>
    </w:p>
    <w:p w14:paraId="0FE6CCAE" w14:textId="77777777" w:rsidR="00B22A2E" w:rsidRDefault="00660087">
      <w:pPr>
        <w:widowControl w:val="0"/>
        <w:spacing w:before="288" w:after="0" w:line="276" w:lineRule="auto"/>
        <w:ind w:right="177"/>
        <w:rPr>
          <w:rFonts w:ascii="Arial" w:eastAsia="Arial" w:hAnsi="Arial" w:cs="Arial"/>
          <w:sz w:val="21"/>
          <w:szCs w:val="21"/>
        </w:rPr>
      </w:pPr>
      <w:bookmarkStart w:id="1" w:name="_heading=h.30j0zll" w:colFirst="0" w:colLast="0"/>
      <w:bookmarkEnd w:id="1"/>
      <w:r>
        <w:rPr>
          <w:rFonts w:ascii="Arial" w:eastAsia="Arial" w:hAnsi="Arial" w:cs="Arial"/>
          <w:noProof/>
          <w:sz w:val="21"/>
          <w:szCs w:val="21"/>
        </w:rPr>
        <w:drawing>
          <wp:inline distT="114300" distB="114300" distL="114300" distR="114300" wp14:anchorId="11AC2F6A" wp14:editId="15A3B965">
            <wp:extent cx="5076825" cy="4953000"/>
            <wp:effectExtent l="25400" t="25400" r="25400" b="254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296" t="914"/>
                    <a:stretch>
                      <a:fillRect/>
                    </a:stretch>
                  </pic:blipFill>
                  <pic:spPr>
                    <a:xfrm>
                      <a:off x="0" y="0"/>
                      <a:ext cx="5076825" cy="4953000"/>
                    </a:xfrm>
                    <a:prstGeom prst="rect">
                      <a:avLst/>
                    </a:prstGeom>
                    <a:ln w="25400">
                      <a:solidFill>
                        <a:srgbClr val="000000"/>
                      </a:solidFill>
                      <a:prstDash val="solid"/>
                    </a:ln>
                  </pic:spPr>
                </pic:pic>
              </a:graphicData>
            </a:graphic>
          </wp:inline>
        </w:drawing>
      </w:r>
    </w:p>
    <w:p w14:paraId="2446D6ED" w14:textId="77777777" w:rsidR="006D61A6" w:rsidRDefault="006D61A6">
      <w:pPr>
        <w:rPr>
          <w:rFonts w:ascii="Arial" w:eastAsia="Arial" w:hAnsi="Arial" w:cs="Arial"/>
          <w:szCs w:val="21"/>
        </w:rPr>
      </w:pPr>
      <w:r>
        <w:rPr>
          <w:rFonts w:ascii="Arial" w:eastAsia="Arial" w:hAnsi="Arial" w:cs="Arial"/>
          <w:szCs w:val="21"/>
        </w:rPr>
        <w:br w:type="page"/>
      </w:r>
    </w:p>
    <w:p w14:paraId="4CAFFFEA" w14:textId="77777777" w:rsidR="00B22A2E" w:rsidRPr="006D61A6" w:rsidRDefault="00660087" w:rsidP="006D61A6">
      <w:pPr>
        <w:widowControl w:val="0"/>
        <w:spacing w:after="0" w:line="276" w:lineRule="auto"/>
        <w:ind w:right="177"/>
        <w:rPr>
          <w:rFonts w:ascii="Arial" w:eastAsia="Arial" w:hAnsi="Arial" w:cs="Arial"/>
          <w:szCs w:val="21"/>
        </w:rPr>
      </w:pPr>
      <w:r w:rsidRPr="006D61A6">
        <w:rPr>
          <w:rFonts w:ascii="Arial" w:eastAsia="Arial" w:hAnsi="Arial" w:cs="Arial"/>
          <w:szCs w:val="21"/>
        </w:rPr>
        <w:lastRenderedPageBreak/>
        <w:t xml:space="preserve">Here are some typical average daily flow rates (in gallons per day; GPD) by type: </w:t>
      </w:r>
    </w:p>
    <w:p w14:paraId="16F9883B" w14:textId="77777777" w:rsidR="00B22A2E" w:rsidRPr="006D61A6" w:rsidRDefault="00660087">
      <w:pPr>
        <w:widowControl w:val="0"/>
        <w:spacing w:after="0" w:line="276" w:lineRule="auto"/>
        <w:rPr>
          <w:rFonts w:ascii="Arial" w:eastAsia="Arial" w:hAnsi="Arial" w:cs="Arial"/>
          <w:szCs w:val="21"/>
        </w:rPr>
      </w:pPr>
      <w:r w:rsidRPr="006D61A6">
        <w:rPr>
          <w:rFonts w:ascii="Arial" w:eastAsia="Arial" w:hAnsi="Arial" w:cs="Arial"/>
          <w:szCs w:val="21"/>
        </w:rPr>
        <w:t xml:space="preserve">• Single family residential: 250 GPD per house </w:t>
      </w:r>
    </w:p>
    <w:p w14:paraId="7DEBF933" w14:textId="77777777" w:rsidR="00B22A2E" w:rsidRPr="006D61A6" w:rsidRDefault="00660087">
      <w:pPr>
        <w:widowControl w:val="0"/>
        <w:spacing w:after="0" w:line="276" w:lineRule="auto"/>
        <w:rPr>
          <w:rFonts w:ascii="Arial" w:eastAsia="Arial" w:hAnsi="Arial" w:cs="Arial"/>
          <w:szCs w:val="21"/>
        </w:rPr>
      </w:pPr>
      <w:r w:rsidRPr="006D61A6">
        <w:rPr>
          <w:rFonts w:ascii="Arial" w:eastAsia="Arial" w:hAnsi="Arial" w:cs="Arial"/>
          <w:szCs w:val="21"/>
        </w:rPr>
        <w:t xml:space="preserve">• Apartments: 240 GPD per apartment unit </w:t>
      </w:r>
    </w:p>
    <w:p w14:paraId="60C41B74" w14:textId="77777777" w:rsidR="00B22A2E" w:rsidRPr="006D61A6" w:rsidRDefault="00660087">
      <w:pPr>
        <w:widowControl w:val="0"/>
        <w:spacing w:after="0" w:line="276" w:lineRule="auto"/>
        <w:rPr>
          <w:rFonts w:ascii="Arial" w:eastAsia="Arial" w:hAnsi="Arial" w:cs="Arial"/>
          <w:szCs w:val="21"/>
        </w:rPr>
      </w:pPr>
      <w:r w:rsidRPr="006D61A6">
        <w:rPr>
          <w:rFonts w:ascii="Arial" w:eastAsia="Arial" w:hAnsi="Arial" w:cs="Arial"/>
          <w:szCs w:val="21"/>
        </w:rPr>
        <w:t xml:space="preserve">• Office building: 25 GPD per employee </w:t>
      </w:r>
    </w:p>
    <w:p w14:paraId="5E5E09C7" w14:textId="77777777" w:rsidR="00B22A2E" w:rsidRPr="006D61A6" w:rsidRDefault="00660087">
      <w:pPr>
        <w:widowControl w:val="0"/>
        <w:spacing w:after="0" w:line="276" w:lineRule="auto"/>
        <w:rPr>
          <w:rFonts w:ascii="Arial" w:eastAsia="Arial" w:hAnsi="Arial" w:cs="Arial"/>
          <w:szCs w:val="21"/>
        </w:rPr>
      </w:pPr>
      <w:r w:rsidRPr="006D61A6">
        <w:rPr>
          <w:rFonts w:ascii="Arial" w:eastAsia="Arial" w:hAnsi="Arial" w:cs="Arial"/>
          <w:szCs w:val="21"/>
        </w:rPr>
        <w:t xml:space="preserve">• Restaurant: 40 GPD per seat </w:t>
      </w:r>
    </w:p>
    <w:p w14:paraId="58AA12EC" w14:textId="77777777" w:rsidR="00B22A2E" w:rsidRPr="006D61A6" w:rsidRDefault="00660087">
      <w:pPr>
        <w:widowControl w:val="0"/>
        <w:spacing w:after="0" w:line="276" w:lineRule="auto"/>
        <w:rPr>
          <w:rFonts w:ascii="Arial" w:eastAsia="Arial" w:hAnsi="Arial" w:cs="Arial"/>
          <w:szCs w:val="21"/>
        </w:rPr>
      </w:pPr>
      <w:r w:rsidRPr="006D61A6">
        <w:rPr>
          <w:rFonts w:ascii="Arial" w:eastAsia="Arial" w:hAnsi="Arial" w:cs="Arial"/>
          <w:szCs w:val="21"/>
        </w:rPr>
        <w:t xml:space="preserve">• Hotel: 120 GPD per room </w:t>
      </w:r>
    </w:p>
    <w:p w14:paraId="0FA4DCB3" w14:textId="77777777" w:rsidR="00B22A2E" w:rsidRDefault="00660087">
      <w:pPr>
        <w:widowControl w:val="0"/>
        <w:spacing w:after="0" w:line="276" w:lineRule="auto"/>
        <w:rPr>
          <w:rFonts w:ascii="Arial" w:eastAsia="Arial" w:hAnsi="Arial" w:cs="Arial"/>
          <w:sz w:val="21"/>
          <w:szCs w:val="21"/>
        </w:rPr>
      </w:pPr>
      <w:r>
        <w:rPr>
          <w:rFonts w:ascii="Arial" w:eastAsia="Arial" w:hAnsi="Arial" w:cs="Arial"/>
          <w:sz w:val="21"/>
          <w:szCs w:val="21"/>
        </w:rPr>
        <w:t xml:space="preserve">• Stadium/Auditorium: 5 GPD per seat </w:t>
      </w:r>
    </w:p>
    <w:p w14:paraId="42B38742" w14:textId="77777777" w:rsidR="00B22A2E" w:rsidRDefault="00B22A2E">
      <w:pPr>
        <w:widowControl w:val="0"/>
        <w:spacing w:after="0" w:line="276" w:lineRule="auto"/>
        <w:rPr>
          <w:rFonts w:ascii="Arial" w:eastAsia="Arial" w:hAnsi="Arial" w:cs="Arial"/>
          <w:sz w:val="21"/>
          <w:szCs w:val="21"/>
        </w:rPr>
      </w:pPr>
    </w:p>
    <w:p w14:paraId="7C58CCB5" w14:textId="77777777" w:rsidR="00B22A2E" w:rsidRDefault="00660087">
      <w:pPr>
        <w:widowControl w:val="0"/>
        <w:spacing w:after="0" w:line="276" w:lineRule="auto"/>
        <w:rPr>
          <w:rFonts w:ascii="Arial" w:eastAsia="Arial" w:hAnsi="Arial" w:cs="Arial"/>
          <w:sz w:val="21"/>
          <w:szCs w:val="21"/>
        </w:rPr>
      </w:pPr>
      <w:r w:rsidRPr="006D61A6">
        <w:rPr>
          <w:rFonts w:ascii="Arial" w:eastAsia="Arial" w:hAnsi="Arial" w:cs="Arial"/>
          <w:szCs w:val="21"/>
        </w:rPr>
        <w:t>Based on these factors, along with the number and types of development in the service area,</w:t>
      </w:r>
      <w:r w:rsidR="006D61A6" w:rsidRPr="006D61A6">
        <w:rPr>
          <w:rFonts w:ascii="Arial" w:eastAsia="Arial" w:hAnsi="Arial" w:cs="Arial"/>
          <w:szCs w:val="21"/>
        </w:rPr>
        <w:t xml:space="preserve"> we can calculate</w:t>
      </w:r>
      <w:r w:rsidRPr="006D61A6">
        <w:rPr>
          <w:rFonts w:ascii="Arial" w:eastAsia="Arial" w:hAnsi="Arial" w:cs="Arial"/>
          <w:szCs w:val="21"/>
        </w:rPr>
        <w:t xml:space="preserve"> the average daily flowrate leaving the service area. However, sewer pipes need to be sized for peak flowrates, not just average daily flowrates. We apply a peaking factor to account for this. When there is no site‐specific data available, a typical peaking factor would range from 2.5 to 3.0 times the average daily flowrates. </w:t>
      </w:r>
      <w:r w:rsidR="006D61A6" w:rsidRPr="006D61A6">
        <w:rPr>
          <w:rFonts w:ascii="Arial" w:eastAsia="Arial" w:hAnsi="Arial" w:cs="Arial"/>
          <w:szCs w:val="21"/>
        </w:rPr>
        <w:t xml:space="preserve">To estimate the peak flowrate to use for the sizing pipe, multiply the peaking factor by the average daily flow. </w:t>
      </w:r>
      <w:r w:rsidRPr="006D61A6">
        <w:rPr>
          <w:rFonts w:ascii="Arial" w:eastAsia="Arial" w:hAnsi="Arial" w:cs="Arial"/>
          <w:szCs w:val="21"/>
        </w:rPr>
        <w:t xml:space="preserve">The capacity of a pipe can be determined by using the Manning </w:t>
      </w:r>
      <w:r w:rsidR="006D61A6" w:rsidRPr="006D61A6">
        <w:rPr>
          <w:rFonts w:ascii="Arial" w:eastAsia="Arial" w:hAnsi="Arial" w:cs="Arial"/>
          <w:szCs w:val="21"/>
        </w:rPr>
        <w:t>Equation, which</w:t>
      </w:r>
      <w:r w:rsidRPr="006D61A6">
        <w:rPr>
          <w:rFonts w:ascii="Arial" w:eastAsia="Arial" w:hAnsi="Arial" w:cs="Arial"/>
          <w:szCs w:val="21"/>
        </w:rPr>
        <w:t xml:space="preserve"> is: </w:t>
      </w:r>
    </w:p>
    <w:p w14:paraId="75B244DF" w14:textId="77777777" w:rsidR="00B22A2E" w:rsidRDefault="00660087">
      <w:pPr>
        <w:widowControl w:val="0"/>
        <w:spacing w:after="0" w:line="276" w:lineRule="auto"/>
        <w:rPr>
          <w:rFonts w:ascii="Arial" w:eastAsia="Arial" w:hAnsi="Arial" w:cs="Arial"/>
          <w:sz w:val="21"/>
          <w:szCs w:val="21"/>
        </w:rPr>
      </w:pPr>
      <w:r w:rsidRPr="006D61A6">
        <w:rPr>
          <w:rFonts w:ascii="Arial" w:eastAsia="Arial" w:hAnsi="Arial" w:cs="Arial"/>
          <w:noProof/>
          <w:szCs w:val="21"/>
        </w:rPr>
        <w:drawing>
          <wp:inline distT="114300" distB="114300" distL="114300" distR="114300" wp14:anchorId="6EC8E79F" wp14:editId="2C6AA0EB">
            <wp:extent cx="1985963" cy="503111"/>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985963" cy="503111"/>
                    </a:xfrm>
                    <a:prstGeom prst="rect">
                      <a:avLst/>
                    </a:prstGeom>
                    <a:ln/>
                  </pic:spPr>
                </pic:pic>
              </a:graphicData>
            </a:graphic>
          </wp:inline>
        </w:drawing>
      </w:r>
    </w:p>
    <w:p w14:paraId="5309086F" w14:textId="77777777" w:rsidR="006D61A6" w:rsidRDefault="00660087">
      <w:pPr>
        <w:widowControl w:val="0"/>
        <w:spacing w:after="0" w:line="276" w:lineRule="auto"/>
        <w:rPr>
          <w:rFonts w:ascii="Arial" w:eastAsia="Arial" w:hAnsi="Arial" w:cs="Arial"/>
          <w:szCs w:val="21"/>
        </w:rPr>
      </w:pPr>
      <w:r w:rsidRPr="006D61A6">
        <w:rPr>
          <w:rFonts w:ascii="Arial" w:eastAsia="Arial" w:hAnsi="Arial" w:cs="Arial"/>
          <w:szCs w:val="21"/>
        </w:rPr>
        <w:t xml:space="preserve">Where: </w:t>
      </w:r>
    </w:p>
    <w:p w14:paraId="1C957A0B" w14:textId="77777777" w:rsidR="00B22A2E" w:rsidRPr="006D61A6" w:rsidRDefault="00660087">
      <w:pPr>
        <w:widowControl w:val="0"/>
        <w:spacing w:after="0" w:line="276" w:lineRule="auto"/>
        <w:rPr>
          <w:rFonts w:ascii="Arial" w:eastAsia="Arial" w:hAnsi="Arial" w:cs="Arial"/>
          <w:szCs w:val="21"/>
        </w:rPr>
      </w:pPr>
      <w:r w:rsidRPr="006D61A6">
        <w:rPr>
          <w:rFonts w:ascii="Arial" w:eastAsia="Arial" w:hAnsi="Arial" w:cs="Arial"/>
          <w:szCs w:val="21"/>
        </w:rPr>
        <w:t xml:space="preserve">Q = flowrate in CFS (pipe capacity when parameters below are for a full pipe. CFS is cubic ft per sec) </w:t>
      </w:r>
    </w:p>
    <w:p w14:paraId="2D77CB2B" w14:textId="77777777" w:rsidR="00B22A2E" w:rsidRPr="006D61A6" w:rsidRDefault="00660087">
      <w:pPr>
        <w:widowControl w:val="0"/>
        <w:spacing w:after="0" w:line="276" w:lineRule="auto"/>
        <w:rPr>
          <w:rFonts w:ascii="Arial" w:eastAsia="Arial" w:hAnsi="Arial" w:cs="Arial"/>
          <w:szCs w:val="21"/>
        </w:rPr>
      </w:pPr>
      <w:r w:rsidRPr="006D61A6">
        <w:rPr>
          <w:rFonts w:ascii="Arial" w:eastAsia="Arial" w:hAnsi="Arial" w:cs="Arial"/>
          <w:szCs w:val="21"/>
        </w:rPr>
        <w:t xml:space="preserve">n = </w:t>
      </w:r>
      <w:proofErr w:type="spellStart"/>
      <w:r w:rsidRPr="006D61A6">
        <w:rPr>
          <w:rFonts w:ascii="Arial" w:eastAsia="Arial" w:hAnsi="Arial" w:cs="Arial"/>
          <w:szCs w:val="21"/>
        </w:rPr>
        <w:t>Mannings</w:t>
      </w:r>
      <w:proofErr w:type="spellEnd"/>
      <w:r w:rsidRPr="006D61A6">
        <w:rPr>
          <w:rFonts w:ascii="Arial" w:eastAsia="Arial" w:hAnsi="Arial" w:cs="Arial"/>
          <w:szCs w:val="21"/>
        </w:rPr>
        <w:t xml:space="preserve"> “n” (use 0.012 for most smooth pipes) </w:t>
      </w:r>
    </w:p>
    <w:p w14:paraId="67B9FBEC" w14:textId="77777777" w:rsidR="00B22A2E" w:rsidRPr="006D61A6" w:rsidRDefault="00660087">
      <w:pPr>
        <w:widowControl w:val="0"/>
        <w:spacing w:after="0" w:line="276" w:lineRule="auto"/>
        <w:rPr>
          <w:rFonts w:ascii="Arial" w:eastAsia="Arial" w:hAnsi="Arial" w:cs="Arial"/>
          <w:szCs w:val="21"/>
        </w:rPr>
      </w:pPr>
      <w:r w:rsidRPr="006D61A6">
        <w:rPr>
          <w:rFonts w:ascii="Arial" w:eastAsia="Arial" w:hAnsi="Arial" w:cs="Arial"/>
          <w:szCs w:val="21"/>
        </w:rPr>
        <w:t xml:space="preserve">A = cross‐sectional area of flow (pipe area when full) in square feet (SF) </w:t>
      </w:r>
    </w:p>
    <w:p w14:paraId="65027BA0" w14:textId="77777777" w:rsidR="00B22A2E" w:rsidRPr="006D61A6" w:rsidRDefault="00660087">
      <w:pPr>
        <w:widowControl w:val="0"/>
        <w:spacing w:after="0" w:line="276" w:lineRule="auto"/>
        <w:rPr>
          <w:rFonts w:ascii="Arial" w:eastAsia="Arial" w:hAnsi="Arial" w:cs="Arial"/>
          <w:szCs w:val="21"/>
        </w:rPr>
      </w:pPr>
      <w:r w:rsidRPr="006D61A6">
        <w:rPr>
          <w:rFonts w:ascii="Arial" w:eastAsia="Arial" w:hAnsi="Arial" w:cs="Arial"/>
          <w:szCs w:val="21"/>
        </w:rPr>
        <w:t xml:space="preserve">P = wetted perimeter (pipe perimeter when full) in FT </w:t>
      </w:r>
    </w:p>
    <w:p w14:paraId="2B4DA2BC" w14:textId="77777777" w:rsidR="00B22A2E" w:rsidRPr="006D61A6" w:rsidRDefault="00660087">
      <w:pPr>
        <w:widowControl w:val="0"/>
        <w:spacing w:after="0" w:line="276" w:lineRule="auto"/>
        <w:rPr>
          <w:rFonts w:ascii="Arial" w:eastAsia="Arial" w:hAnsi="Arial" w:cs="Arial"/>
          <w:szCs w:val="21"/>
        </w:rPr>
      </w:pPr>
      <w:r w:rsidRPr="006D61A6">
        <w:rPr>
          <w:rFonts w:ascii="Arial" w:eastAsia="Arial" w:hAnsi="Arial" w:cs="Arial"/>
          <w:szCs w:val="21"/>
        </w:rPr>
        <w:t xml:space="preserve">S = pipe slope in FT per FT </w:t>
      </w:r>
    </w:p>
    <w:p w14:paraId="5C68D891" w14:textId="77777777" w:rsidR="00B22A2E" w:rsidRPr="006D61A6" w:rsidRDefault="00660087">
      <w:pPr>
        <w:widowControl w:val="0"/>
        <w:spacing w:before="240" w:after="240" w:line="276" w:lineRule="auto"/>
        <w:rPr>
          <w:rFonts w:ascii="Arial" w:eastAsia="Arial" w:hAnsi="Arial" w:cs="Arial"/>
          <w:szCs w:val="21"/>
        </w:rPr>
      </w:pPr>
      <w:r w:rsidRPr="006D61A6">
        <w:rPr>
          <w:rFonts w:ascii="Arial" w:eastAsia="Arial" w:hAnsi="Arial" w:cs="Arial"/>
          <w:szCs w:val="21"/>
        </w:rPr>
        <w:t xml:space="preserve">The table below lists several pipe sizes available and their associated minimum required pipe slopes by size. Use the formula above to calculate the Flowrate (Q) for each given pipe diameter. </w:t>
      </w:r>
    </w:p>
    <w:tbl>
      <w:tblPr>
        <w:tblStyle w:val="a2"/>
        <w:tblW w:w="71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585"/>
        <w:gridCol w:w="2340"/>
      </w:tblGrid>
      <w:tr w:rsidR="00B22A2E" w14:paraId="048C6802" w14:textId="77777777" w:rsidTr="006D61A6">
        <w:trPr>
          <w:jc w:val="center"/>
        </w:trPr>
        <w:tc>
          <w:tcPr>
            <w:tcW w:w="2175" w:type="dxa"/>
            <w:shd w:val="clear" w:color="auto" w:fill="auto"/>
            <w:tcMar>
              <w:top w:w="100" w:type="dxa"/>
              <w:left w:w="100" w:type="dxa"/>
              <w:bottom w:w="100" w:type="dxa"/>
              <w:right w:w="100" w:type="dxa"/>
            </w:tcMar>
          </w:tcPr>
          <w:p w14:paraId="3D491D73" w14:textId="77777777" w:rsidR="00B22A2E" w:rsidRPr="006D61A6" w:rsidRDefault="00660087" w:rsidP="006D61A6">
            <w:pPr>
              <w:widowControl w:val="0"/>
              <w:pBdr>
                <w:top w:val="nil"/>
                <w:left w:val="nil"/>
                <w:bottom w:val="nil"/>
                <w:right w:val="nil"/>
                <w:between w:val="nil"/>
              </w:pBdr>
              <w:spacing w:after="0" w:line="240" w:lineRule="auto"/>
              <w:jc w:val="center"/>
              <w:rPr>
                <w:rFonts w:ascii="Arial" w:eastAsia="Arial" w:hAnsi="Arial" w:cs="Arial"/>
                <w:b/>
                <w:szCs w:val="21"/>
              </w:rPr>
            </w:pPr>
            <w:r w:rsidRPr="006D61A6">
              <w:rPr>
                <w:rFonts w:ascii="Arial" w:eastAsia="Arial" w:hAnsi="Arial" w:cs="Arial"/>
                <w:b/>
                <w:szCs w:val="21"/>
              </w:rPr>
              <w:t>Pipe Diameter (in)</w:t>
            </w:r>
          </w:p>
        </w:tc>
        <w:tc>
          <w:tcPr>
            <w:tcW w:w="2585" w:type="dxa"/>
            <w:shd w:val="clear" w:color="auto" w:fill="auto"/>
            <w:tcMar>
              <w:top w:w="100" w:type="dxa"/>
              <w:left w:w="100" w:type="dxa"/>
              <w:bottom w:w="100" w:type="dxa"/>
              <w:right w:w="100" w:type="dxa"/>
            </w:tcMar>
          </w:tcPr>
          <w:p w14:paraId="38FB9866" w14:textId="77777777" w:rsidR="00B22A2E" w:rsidRPr="006D61A6" w:rsidRDefault="00660087" w:rsidP="006D61A6">
            <w:pPr>
              <w:widowControl w:val="0"/>
              <w:pBdr>
                <w:top w:val="nil"/>
                <w:left w:val="nil"/>
                <w:bottom w:val="nil"/>
                <w:right w:val="nil"/>
                <w:between w:val="nil"/>
              </w:pBdr>
              <w:spacing w:after="0" w:line="240" w:lineRule="auto"/>
              <w:jc w:val="center"/>
              <w:rPr>
                <w:rFonts w:ascii="Arial" w:eastAsia="Arial" w:hAnsi="Arial" w:cs="Arial"/>
                <w:b/>
                <w:szCs w:val="21"/>
              </w:rPr>
            </w:pPr>
            <w:r w:rsidRPr="006D61A6">
              <w:rPr>
                <w:rFonts w:ascii="Arial" w:eastAsia="Arial" w:hAnsi="Arial" w:cs="Arial"/>
                <w:b/>
                <w:szCs w:val="21"/>
              </w:rPr>
              <w:t>Minimum Slope (ft/ft)</w:t>
            </w:r>
          </w:p>
        </w:tc>
        <w:tc>
          <w:tcPr>
            <w:tcW w:w="2340" w:type="dxa"/>
            <w:shd w:val="clear" w:color="auto" w:fill="auto"/>
            <w:tcMar>
              <w:top w:w="100" w:type="dxa"/>
              <w:left w:w="100" w:type="dxa"/>
              <w:bottom w:w="100" w:type="dxa"/>
              <w:right w:w="100" w:type="dxa"/>
            </w:tcMar>
          </w:tcPr>
          <w:p w14:paraId="27124FCE" w14:textId="77777777" w:rsidR="00B22A2E" w:rsidRPr="006D61A6" w:rsidRDefault="00660087" w:rsidP="006D61A6">
            <w:pPr>
              <w:widowControl w:val="0"/>
              <w:pBdr>
                <w:top w:val="nil"/>
                <w:left w:val="nil"/>
                <w:bottom w:val="nil"/>
                <w:right w:val="nil"/>
                <w:between w:val="nil"/>
              </w:pBdr>
              <w:spacing w:after="0" w:line="240" w:lineRule="auto"/>
              <w:jc w:val="center"/>
              <w:rPr>
                <w:rFonts w:ascii="Arial" w:eastAsia="Arial" w:hAnsi="Arial" w:cs="Arial"/>
                <w:b/>
                <w:szCs w:val="21"/>
              </w:rPr>
            </w:pPr>
            <w:r w:rsidRPr="006D61A6">
              <w:rPr>
                <w:rFonts w:ascii="Arial" w:eastAsia="Arial" w:hAnsi="Arial" w:cs="Arial"/>
                <w:b/>
                <w:szCs w:val="21"/>
              </w:rPr>
              <w:t>Flowrate (Q-CFS)</w:t>
            </w:r>
          </w:p>
        </w:tc>
      </w:tr>
      <w:tr w:rsidR="00B22A2E" w14:paraId="15A198DC" w14:textId="77777777" w:rsidTr="006D61A6">
        <w:trPr>
          <w:trHeight w:val="390"/>
          <w:jc w:val="center"/>
        </w:trPr>
        <w:tc>
          <w:tcPr>
            <w:tcW w:w="2175" w:type="dxa"/>
            <w:shd w:val="clear" w:color="auto" w:fill="auto"/>
            <w:tcMar>
              <w:top w:w="100" w:type="dxa"/>
              <w:left w:w="100" w:type="dxa"/>
              <w:bottom w:w="100" w:type="dxa"/>
              <w:right w:w="100" w:type="dxa"/>
            </w:tcMar>
          </w:tcPr>
          <w:p w14:paraId="197EC3DC" w14:textId="77777777" w:rsidR="00B22A2E" w:rsidRPr="006D61A6" w:rsidRDefault="00660087" w:rsidP="006D61A6">
            <w:pPr>
              <w:widowControl w:val="0"/>
              <w:pBdr>
                <w:top w:val="nil"/>
                <w:left w:val="nil"/>
                <w:bottom w:val="nil"/>
                <w:right w:val="nil"/>
                <w:between w:val="nil"/>
              </w:pBdr>
              <w:spacing w:after="0" w:line="240" w:lineRule="auto"/>
              <w:jc w:val="center"/>
              <w:rPr>
                <w:rFonts w:ascii="Arial" w:eastAsia="Arial" w:hAnsi="Arial" w:cs="Arial"/>
                <w:szCs w:val="21"/>
              </w:rPr>
            </w:pPr>
            <w:r w:rsidRPr="006D61A6">
              <w:rPr>
                <w:rFonts w:ascii="Arial" w:eastAsia="Arial" w:hAnsi="Arial" w:cs="Arial"/>
                <w:szCs w:val="21"/>
              </w:rPr>
              <w:t>8</w:t>
            </w:r>
          </w:p>
        </w:tc>
        <w:tc>
          <w:tcPr>
            <w:tcW w:w="2585" w:type="dxa"/>
            <w:shd w:val="clear" w:color="auto" w:fill="auto"/>
            <w:tcMar>
              <w:top w:w="100" w:type="dxa"/>
              <w:left w:w="100" w:type="dxa"/>
              <w:bottom w:w="100" w:type="dxa"/>
              <w:right w:w="100" w:type="dxa"/>
            </w:tcMar>
          </w:tcPr>
          <w:p w14:paraId="2F2C8C11" w14:textId="77777777" w:rsidR="00B22A2E" w:rsidRPr="006D61A6" w:rsidRDefault="00660087" w:rsidP="006D61A6">
            <w:pPr>
              <w:widowControl w:val="0"/>
              <w:pBdr>
                <w:top w:val="nil"/>
                <w:left w:val="nil"/>
                <w:bottom w:val="nil"/>
                <w:right w:val="nil"/>
                <w:between w:val="nil"/>
              </w:pBdr>
              <w:spacing w:after="0" w:line="240" w:lineRule="auto"/>
              <w:jc w:val="center"/>
              <w:rPr>
                <w:rFonts w:ascii="Arial" w:eastAsia="Arial" w:hAnsi="Arial" w:cs="Arial"/>
                <w:szCs w:val="21"/>
              </w:rPr>
            </w:pPr>
            <w:r w:rsidRPr="006D61A6">
              <w:rPr>
                <w:rFonts w:ascii="Arial" w:eastAsia="Arial" w:hAnsi="Arial" w:cs="Arial"/>
                <w:szCs w:val="21"/>
              </w:rPr>
              <w:t>0.0050</w:t>
            </w:r>
          </w:p>
        </w:tc>
        <w:tc>
          <w:tcPr>
            <w:tcW w:w="23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06240B" w14:textId="77777777" w:rsidR="00B22A2E" w:rsidRPr="006D61A6" w:rsidRDefault="00B22A2E" w:rsidP="006D61A6">
            <w:pPr>
              <w:widowControl w:val="0"/>
              <w:spacing w:after="0" w:line="276" w:lineRule="auto"/>
              <w:jc w:val="center"/>
              <w:rPr>
                <w:color w:val="FF0000"/>
              </w:rPr>
            </w:pPr>
          </w:p>
        </w:tc>
      </w:tr>
      <w:tr w:rsidR="00B22A2E" w14:paraId="50BD5CB9" w14:textId="77777777" w:rsidTr="006D61A6">
        <w:trPr>
          <w:jc w:val="center"/>
        </w:trPr>
        <w:tc>
          <w:tcPr>
            <w:tcW w:w="2175" w:type="dxa"/>
            <w:shd w:val="clear" w:color="auto" w:fill="auto"/>
            <w:tcMar>
              <w:top w:w="100" w:type="dxa"/>
              <w:left w:w="100" w:type="dxa"/>
              <w:bottom w:w="100" w:type="dxa"/>
              <w:right w:w="100" w:type="dxa"/>
            </w:tcMar>
          </w:tcPr>
          <w:p w14:paraId="7371E1BF" w14:textId="77777777" w:rsidR="00B22A2E" w:rsidRPr="006D61A6" w:rsidRDefault="00660087" w:rsidP="006D61A6">
            <w:pPr>
              <w:widowControl w:val="0"/>
              <w:pBdr>
                <w:top w:val="nil"/>
                <w:left w:val="nil"/>
                <w:bottom w:val="nil"/>
                <w:right w:val="nil"/>
                <w:between w:val="nil"/>
              </w:pBdr>
              <w:spacing w:after="0" w:line="240" w:lineRule="auto"/>
              <w:jc w:val="center"/>
              <w:rPr>
                <w:rFonts w:ascii="Arial" w:eastAsia="Arial" w:hAnsi="Arial" w:cs="Arial"/>
                <w:szCs w:val="21"/>
              </w:rPr>
            </w:pPr>
            <w:r w:rsidRPr="006D61A6">
              <w:rPr>
                <w:rFonts w:ascii="Arial" w:eastAsia="Arial" w:hAnsi="Arial" w:cs="Arial"/>
                <w:szCs w:val="21"/>
              </w:rPr>
              <w:t>12</w:t>
            </w:r>
          </w:p>
        </w:tc>
        <w:tc>
          <w:tcPr>
            <w:tcW w:w="2585" w:type="dxa"/>
            <w:shd w:val="clear" w:color="auto" w:fill="auto"/>
            <w:tcMar>
              <w:top w:w="100" w:type="dxa"/>
              <w:left w:w="100" w:type="dxa"/>
              <w:bottom w:w="100" w:type="dxa"/>
              <w:right w:w="100" w:type="dxa"/>
            </w:tcMar>
          </w:tcPr>
          <w:p w14:paraId="72EE5492" w14:textId="77777777" w:rsidR="00B22A2E" w:rsidRPr="006D61A6" w:rsidRDefault="00660087" w:rsidP="006D61A6">
            <w:pPr>
              <w:widowControl w:val="0"/>
              <w:pBdr>
                <w:top w:val="nil"/>
                <w:left w:val="nil"/>
                <w:bottom w:val="nil"/>
                <w:right w:val="nil"/>
                <w:between w:val="nil"/>
              </w:pBdr>
              <w:spacing w:after="0" w:line="240" w:lineRule="auto"/>
              <w:jc w:val="center"/>
              <w:rPr>
                <w:rFonts w:ascii="Arial" w:eastAsia="Arial" w:hAnsi="Arial" w:cs="Arial"/>
                <w:szCs w:val="21"/>
              </w:rPr>
            </w:pPr>
            <w:r w:rsidRPr="006D61A6">
              <w:rPr>
                <w:rFonts w:ascii="Arial" w:eastAsia="Arial" w:hAnsi="Arial" w:cs="Arial"/>
                <w:szCs w:val="21"/>
              </w:rPr>
              <w:t>0.0028</w:t>
            </w:r>
          </w:p>
        </w:tc>
        <w:tc>
          <w:tcPr>
            <w:tcW w:w="23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C2F4C5E" w14:textId="77777777" w:rsidR="00B22A2E" w:rsidRPr="006D61A6" w:rsidRDefault="00B22A2E" w:rsidP="006D61A6">
            <w:pPr>
              <w:widowControl w:val="0"/>
              <w:spacing w:after="0" w:line="276" w:lineRule="auto"/>
              <w:jc w:val="center"/>
              <w:rPr>
                <w:color w:val="FF0000"/>
              </w:rPr>
            </w:pPr>
          </w:p>
          <w:p w14:paraId="7D917834" w14:textId="77777777" w:rsidR="00B22A2E" w:rsidRPr="006D61A6" w:rsidRDefault="00B22A2E" w:rsidP="006D61A6">
            <w:pPr>
              <w:widowControl w:val="0"/>
              <w:spacing w:after="0" w:line="276" w:lineRule="auto"/>
              <w:jc w:val="center"/>
              <w:rPr>
                <w:color w:val="FF0000"/>
              </w:rPr>
            </w:pPr>
          </w:p>
        </w:tc>
      </w:tr>
      <w:tr w:rsidR="00B22A2E" w14:paraId="4001FB55" w14:textId="77777777" w:rsidTr="006D61A6">
        <w:trPr>
          <w:jc w:val="center"/>
        </w:trPr>
        <w:tc>
          <w:tcPr>
            <w:tcW w:w="2175" w:type="dxa"/>
            <w:shd w:val="clear" w:color="auto" w:fill="auto"/>
            <w:tcMar>
              <w:top w:w="100" w:type="dxa"/>
              <w:left w:w="100" w:type="dxa"/>
              <w:bottom w:w="100" w:type="dxa"/>
              <w:right w:w="100" w:type="dxa"/>
            </w:tcMar>
          </w:tcPr>
          <w:p w14:paraId="0B9B0C89" w14:textId="77777777" w:rsidR="00B22A2E" w:rsidRPr="006D61A6" w:rsidRDefault="00660087" w:rsidP="006D61A6">
            <w:pPr>
              <w:widowControl w:val="0"/>
              <w:pBdr>
                <w:top w:val="nil"/>
                <w:left w:val="nil"/>
                <w:bottom w:val="nil"/>
                <w:right w:val="nil"/>
                <w:between w:val="nil"/>
              </w:pBdr>
              <w:spacing w:after="0" w:line="240" w:lineRule="auto"/>
              <w:jc w:val="center"/>
              <w:rPr>
                <w:rFonts w:ascii="Arial" w:eastAsia="Arial" w:hAnsi="Arial" w:cs="Arial"/>
                <w:szCs w:val="21"/>
              </w:rPr>
            </w:pPr>
            <w:r w:rsidRPr="006D61A6">
              <w:rPr>
                <w:rFonts w:ascii="Arial" w:eastAsia="Arial" w:hAnsi="Arial" w:cs="Arial"/>
                <w:szCs w:val="21"/>
              </w:rPr>
              <w:t>16</w:t>
            </w:r>
          </w:p>
        </w:tc>
        <w:tc>
          <w:tcPr>
            <w:tcW w:w="2585" w:type="dxa"/>
            <w:shd w:val="clear" w:color="auto" w:fill="auto"/>
            <w:tcMar>
              <w:top w:w="100" w:type="dxa"/>
              <w:left w:w="100" w:type="dxa"/>
              <w:bottom w:w="100" w:type="dxa"/>
              <w:right w:w="100" w:type="dxa"/>
            </w:tcMar>
          </w:tcPr>
          <w:p w14:paraId="563CA9C0" w14:textId="77777777" w:rsidR="00B22A2E" w:rsidRPr="006D61A6" w:rsidRDefault="00660087" w:rsidP="006D61A6">
            <w:pPr>
              <w:widowControl w:val="0"/>
              <w:pBdr>
                <w:top w:val="nil"/>
                <w:left w:val="nil"/>
                <w:bottom w:val="nil"/>
                <w:right w:val="nil"/>
                <w:between w:val="nil"/>
              </w:pBdr>
              <w:spacing w:after="0" w:line="240" w:lineRule="auto"/>
              <w:jc w:val="center"/>
              <w:rPr>
                <w:rFonts w:ascii="Arial" w:eastAsia="Arial" w:hAnsi="Arial" w:cs="Arial"/>
                <w:szCs w:val="21"/>
              </w:rPr>
            </w:pPr>
            <w:r w:rsidRPr="006D61A6">
              <w:rPr>
                <w:rFonts w:ascii="Arial" w:eastAsia="Arial" w:hAnsi="Arial" w:cs="Arial"/>
                <w:szCs w:val="21"/>
              </w:rPr>
              <w:t>0.0014</w:t>
            </w:r>
          </w:p>
        </w:tc>
        <w:tc>
          <w:tcPr>
            <w:tcW w:w="23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491D9D" w14:textId="77777777" w:rsidR="00B22A2E" w:rsidRPr="006D61A6" w:rsidRDefault="00B22A2E" w:rsidP="006D61A6">
            <w:pPr>
              <w:widowControl w:val="0"/>
              <w:spacing w:after="0" w:line="276" w:lineRule="auto"/>
              <w:jc w:val="center"/>
              <w:rPr>
                <w:color w:val="FF0000"/>
              </w:rPr>
            </w:pPr>
          </w:p>
        </w:tc>
      </w:tr>
      <w:tr w:rsidR="00B22A2E" w14:paraId="5B61638C" w14:textId="77777777" w:rsidTr="006D61A6">
        <w:trPr>
          <w:trHeight w:val="420"/>
          <w:jc w:val="center"/>
        </w:trPr>
        <w:tc>
          <w:tcPr>
            <w:tcW w:w="2175" w:type="dxa"/>
            <w:shd w:val="clear" w:color="auto" w:fill="auto"/>
            <w:tcMar>
              <w:top w:w="100" w:type="dxa"/>
              <w:left w:w="100" w:type="dxa"/>
              <w:bottom w:w="100" w:type="dxa"/>
              <w:right w:w="100" w:type="dxa"/>
            </w:tcMar>
          </w:tcPr>
          <w:p w14:paraId="2713C9EA" w14:textId="77777777" w:rsidR="00B22A2E" w:rsidRPr="006D61A6" w:rsidRDefault="00660087" w:rsidP="006D61A6">
            <w:pPr>
              <w:widowControl w:val="0"/>
              <w:pBdr>
                <w:top w:val="nil"/>
                <w:left w:val="nil"/>
                <w:bottom w:val="nil"/>
                <w:right w:val="nil"/>
                <w:between w:val="nil"/>
              </w:pBdr>
              <w:spacing w:after="0" w:line="240" w:lineRule="auto"/>
              <w:jc w:val="center"/>
              <w:rPr>
                <w:rFonts w:ascii="Arial" w:eastAsia="Arial" w:hAnsi="Arial" w:cs="Arial"/>
                <w:szCs w:val="21"/>
              </w:rPr>
            </w:pPr>
            <w:r w:rsidRPr="006D61A6">
              <w:rPr>
                <w:rFonts w:ascii="Arial" w:eastAsia="Arial" w:hAnsi="Arial" w:cs="Arial"/>
                <w:szCs w:val="21"/>
              </w:rPr>
              <w:t>24</w:t>
            </w:r>
          </w:p>
        </w:tc>
        <w:tc>
          <w:tcPr>
            <w:tcW w:w="2585" w:type="dxa"/>
            <w:shd w:val="clear" w:color="auto" w:fill="auto"/>
            <w:tcMar>
              <w:top w:w="100" w:type="dxa"/>
              <w:left w:w="100" w:type="dxa"/>
              <w:bottom w:w="100" w:type="dxa"/>
              <w:right w:w="100" w:type="dxa"/>
            </w:tcMar>
          </w:tcPr>
          <w:p w14:paraId="3D35EE46" w14:textId="77777777" w:rsidR="00B22A2E" w:rsidRPr="006D61A6" w:rsidRDefault="00660087" w:rsidP="006D61A6">
            <w:pPr>
              <w:widowControl w:val="0"/>
              <w:pBdr>
                <w:top w:val="nil"/>
                <w:left w:val="nil"/>
                <w:bottom w:val="nil"/>
                <w:right w:val="nil"/>
                <w:between w:val="nil"/>
              </w:pBdr>
              <w:spacing w:after="0" w:line="240" w:lineRule="auto"/>
              <w:jc w:val="center"/>
              <w:rPr>
                <w:rFonts w:ascii="Arial" w:eastAsia="Arial" w:hAnsi="Arial" w:cs="Arial"/>
                <w:szCs w:val="21"/>
              </w:rPr>
            </w:pPr>
            <w:r w:rsidRPr="006D61A6">
              <w:rPr>
                <w:rFonts w:ascii="Arial" w:eastAsia="Arial" w:hAnsi="Arial" w:cs="Arial"/>
                <w:szCs w:val="21"/>
              </w:rPr>
              <w:t>0.0008</w:t>
            </w:r>
          </w:p>
        </w:tc>
        <w:tc>
          <w:tcPr>
            <w:tcW w:w="23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902CC38" w14:textId="77777777" w:rsidR="00B22A2E" w:rsidRPr="006D61A6" w:rsidRDefault="00B22A2E" w:rsidP="006D61A6">
            <w:pPr>
              <w:widowControl w:val="0"/>
              <w:spacing w:after="0" w:line="276" w:lineRule="auto"/>
              <w:jc w:val="center"/>
              <w:rPr>
                <w:color w:val="FF0000"/>
              </w:rPr>
            </w:pPr>
          </w:p>
        </w:tc>
      </w:tr>
    </w:tbl>
    <w:p w14:paraId="4234DE95" w14:textId="77777777" w:rsidR="00B22A2E" w:rsidRPr="006D61A6" w:rsidRDefault="00660087">
      <w:pPr>
        <w:widowControl w:val="0"/>
        <w:spacing w:before="240" w:after="240" w:line="276" w:lineRule="auto"/>
        <w:jc w:val="center"/>
        <w:rPr>
          <w:rFonts w:ascii="Arial" w:eastAsia="Arial" w:hAnsi="Arial" w:cs="Arial"/>
          <w:i/>
          <w:szCs w:val="21"/>
        </w:rPr>
      </w:pPr>
      <w:r w:rsidRPr="006D61A6">
        <w:rPr>
          <w:rFonts w:ascii="Arial" w:eastAsia="Arial" w:hAnsi="Arial" w:cs="Arial"/>
          <w:i/>
          <w:szCs w:val="21"/>
        </w:rPr>
        <w:t>One beneficial unit conversion is that 1 cubic foot = 7.5 gallons</w:t>
      </w:r>
    </w:p>
    <w:p w14:paraId="014BC31D" w14:textId="77777777" w:rsidR="004135C6" w:rsidRPr="004135C6" w:rsidRDefault="00660087" w:rsidP="004135C6">
      <w:pPr>
        <w:pStyle w:val="ListParagraph"/>
        <w:widowControl w:val="0"/>
        <w:numPr>
          <w:ilvl w:val="0"/>
          <w:numId w:val="1"/>
        </w:numPr>
        <w:spacing w:before="240" w:after="240" w:line="276" w:lineRule="auto"/>
        <w:rPr>
          <w:rFonts w:ascii="Arial" w:eastAsia="Arial" w:hAnsi="Arial" w:cs="Arial"/>
        </w:rPr>
      </w:pPr>
      <w:r w:rsidRPr="004135C6">
        <w:rPr>
          <w:rFonts w:ascii="Arial" w:eastAsia="Arial" w:hAnsi="Arial" w:cs="Arial"/>
        </w:rPr>
        <w:t>A sewer service area contains 900 homes and 400 apartments</w:t>
      </w:r>
      <w:r w:rsidRPr="004135C6">
        <w:rPr>
          <w:rFonts w:ascii="Arial" w:eastAsia="Arial" w:hAnsi="Arial" w:cs="Arial"/>
          <w:i/>
        </w:rPr>
        <w:t xml:space="preserve">. </w:t>
      </w:r>
      <w:r w:rsidRPr="004135C6">
        <w:rPr>
          <w:rFonts w:ascii="Arial" w:eastAsia="Arial" w:hAnsi="Arial" w:cs="Arial"/>
        </w:rPr>
        <w:t xml:space="preserve"> What pipe size is required to convey the wastewater away from the area? </w:t>
      </w:r>
    </w:p>
    <w:p w14:paraId="5288DFDD" w14:textId="77777777" w:rsidR="004135C6" w:rsidRDefault="004135C6" w:rsidP="004135C6">
      <w:pPr>
        <w:pStyle w:val="ListParagraph"/>
        <w:widowControl w:val="0"/>
        <w:spacing w:before="240" w:after="240" w:line="276" w:lineRule="auto"/>
        <w:rPr>
          <w:rFonts w:ascii="Arial" w:eastAsia="Arial" w:hAnsi="Arial" w:cs="Arial"/>
        </w:rPr>
      </w:pPr>
    </w:p>
    <w:p w14:paraId="68010131" w14:textId="77777777" w:rsidR="00660087" w:rsidRPr="004135C6" w:rsidRDefault="00660087" w:rsidP="004135C6">
      <w:pPr>
        <w:pStyle w:val="ListParagraph"/>
        <w:widowControl w:val="0"/>
        <w:spacing w:before="240" w:after="240" w:line="276" w:lineRule="auto"/>
        <w:rPr>
          <w:rFonts w:ascii="Arial" w:eastAsia="Arial" w:hAnsi="Arial" w:cs="Arial"/>
        </w:rPr>
      </w:pPr>
    </w:p>
    <w:p w14:paraId="0997AD4A" w14:textId="77777777" w:rsidR="00660087" w:rsidRDefault="00660087" w:rsidP="00660087">
      <w:pPr>
        <w:pStyle w:val="ListParagraph"/>
        <w:widowControl w:val="0"/>
        <w:numPr>
          <w:ilvl w:val="0"/>
          <w:numId w:val="1"/>
        </w:numPr>
        <w:spacing w:before="240" w:after="240" w:line="276" w:lineRule="auto"/>
        <w:rPr>
          <w:rFonts w:ascii="Arial" w:eastAsia="Arial" w:hAnsi="Arial" w:cs="Arial"/>
        </w:rPr>
      </w:pPr>
      <w:r w:rsidRPr="004135C6">
        <w:rPr>
          <w:rFonts w:ascii="Arial" w:eastAsia="Arial" w:hAnsi="Arial" w:cs="Arial"/>
        </w:rPr>
        <w:t xml:space="preserve">A sewer service area </w:t>
      </w:r>
      <w:r>
        <w:rPr>
          <w:rFonts w:ascii="Arial" w:eastAsia="Arial" w:hAnsi="Arial" w:cs="Arial"/>
        </w:rPr>
        <w:t>contains</w:t>
      </w:r>
      <w:r w:rsidRPr="004135C6">
        <w:rPr>
          <w:rFonts w:ascii="Arial" w:eastAsia="Arial" w:hAnsi="Arial" w:cs="Arial"/>
        </w:rPr>
        <w:t xml:space="preserve"> 12 in diameter pipes and contains 1100 houses and 400 apartments.  A real estate developer wants to come in and build an apartment complex, on some open lots, that will contain 400 new apartment units.  Can the existing pipe system convey the wastewater away from the area, after </w:t>
      </w:r>
      <w:r>
        <w:rPr>
          <w:rFonts w:ascii="Arial" w:eastAsia="Arial" w:hAnsi="Arial" w:cs="Arial"/>
        </w:rPr>
        <w:t xml:space="preserve">building </w:t>
      </w:r>
      <w:r w:rsidRPr="004135C6">
        <w:rPr>
          <w:rFonts w:ascii="Arial" w:eastAsia="Arial" w:hAnsi="Arial" w:cs="Arial"/>
        </w:rPr>
        <w:t>the new apartments?  Explain your reasoning.</w:t>
      </w:r>
    </w:p>
    <w:p w14:paraId="1ADFA65C" w14:textId="66B888CA" w:rsidR="00660087" w:rsidRDefault="00660087" w:rsidP="00660087">
      <w:pPr>
        <w:pStyle w:val="ListParagraph"/>
        <w:rPr>
          <w:rFonts w:ascii="Arial" w:eastAsia="Arial" w:hAnsi="Arial" w:cs="Arial"/>
        </w:rPr>
      </w:pPr>
    </w:p>
    <w:p w14:paraId="50649D8D" w14:textId="77777777" w:rsidR="001925CE" w:rsidRPr="00660087" w:rsidRDefault="001925CE" w:rsidP="00660087">
      <w:pPr>
        <w:pStyle w:val="ListParagraph"/>
        <w:rPr>
          <w:rFonts w:ascii="Arial" w:eastAsia="Arial" w:hAnsi="Arial" w:cs="Arial"/>
        </w:rPr>
      </w:pPr>
    </w:p>
    <w:p w14:paraId="0CEBD483" w14:textId="16D43492" w:rsidR="00B22A2E" w:rsidRPr="003A061B" w:rsidRDefault="00660087" w:rsidP="003A061B">
      <w:pPr>
        <w:pStyle w:val="ListParagraph"/>
        <w:widowControl w:val="0"/>
        <w:numPr>
          <w:ilvl w:val="0"/>
          <w:numId w:val="1"/>
        </w:numPr>
        <w:spacing w:before="240" w:after="240" w:line="276" w:lineRule="auto"/>
        <w:rPr>
          <w:rFonts w:ascii="Arial" w:eastAsia="Arial" w:hAnsi="Arial" w:cs="Arial"/>
        </w:rPr>
      </w:pPr>
      <w:r w:rsidRPr="00660087">
        <w:rPr>
          <w:rFonts w:ascii="Arial" w:eastAsia="Arial" w:hAnsi="Arial" w:cs="Arial"/>
        </w:rPr>
        <w:lastRenderedPageBreak/>
        <w:t>We need</w:t>
      </w:r>
      <w:r>
        <w:rPr>
          <w:rFonts w:ascii="Arial" w:eastAsia="Arial" w:hAnsi="Arial" w:cs="Arial"/>
        </w:rPr>
        <w:t xml:space="preserve"> to convey 300,000 GPD of waste</w:t>
      </w:r>
      <w:r w:rsidRPr="00660087">
        <w:rPr>
          <w:rFonts w:ascii="Arial" w:eastAsia="Arial" w:hAnsi="Arial" w:cs="Arial"/>
        </w:rPr>
        <w:t xml:space="preserve">water, away from an area using a 12 in diameter pipe. What is the minimum slope requirement for the pipe? What does the minimum slope value represent as a fraction?  </w:t>
      </w:r>
    </w:p>
    <w:p w14:paraId="4E445791" w14:textId="77777777" w:rsidR="00660087" w:rsidRDefault="00660087">
      <w:pPr>
        <w:widowControl w:val="0"/>
        <w:spacing w:before="240" w:after="240" w:line="276" w:lineRule="auto"/>
        <w:rPr>
          <w:rFonts w:ascii="Arial" w:eastAsia="Arial" w:hAnsi="Arial" w:cs="Arial"/>
          <w:b/>
        </w:rPr>
      </w:pPr>
      <w:r>
        <w:rPr>
          <w:rFonts w:ascii="Arial" w:eastAsia="Arial" w:hAnsi="Arial" w:cs="Arial"/>
          <w:b/>
        </w:rPr>
        <w:t>Task 2: Pump Stations</w:t>
      </w:r>
    </w:p>
    <w:p w14:paraId="2EE0356F" w14:textId="77777777" w:rsidR="00B22A2E" w:rsidRPr="004135C6" w:rsidRDefault="00660087">
      <w:pPr>
        <w:widowControl w:val="0"/>
        <w:spacing w:before="240" w:after="240" w:line="276" w:lineRule="auto"/>
        <w:rPr>
          <w:rFonts w:ascii="Arial" w:eastAsia="Arial" w:hAnsi="Arial" w:cs="Arial"/>
        </w:rPr>
      </w:pPr>
      <w:r w:rsidRPr="004135C6">
        <w:rPr>
          <w:rFonts w:ascii="Arial" w:eastAsia="Arial" w:hAnsi="Arial" w:cs="Arial"/>
        </w:rPr>
        <w:t xml:space="preserve">In order to convey the water uphill, the pump must overcome the static (static because it does not change) and dynamic head (dynamic because it </w:t>
      </w:r>
      <w:r>
        <w:rPr>
          <w:rFonts w:ascii="Arial" w:eastAsia="Arial" w:hAnsi="Arial" w:cs="Arial"/>
        </w:rPr>
        <w:t>i</w:t>
      </w:r>
      <w:r w:rsidRPr="004135C6">
        <w:rPr>
          <w:rFonts w:ascii="Arial" w:eastAsia="Arial" w:hAnsi="Arial" w:cs="Arial"/>
        </w:rPr>
        <w:t>s moving and head means pressure). Combined we call this “total dynamic head”. Static head is resulting from the slope uphill we are pumping the water. Dynamic head is the friction resulting from the inside wall of the pipe.</w:t>
      </w:r>
    </w:p>
    <w:p w14:paraId="6A6EC268" w14:textId="77777777" w:rsidR="00B22A2E" w:rsidRPr="004135C6" w:rsidRDefault="00660087">
      <w:pPr>
        <w:widowControl w:val="0"/>
        <w:spacing w:before="288" w:after="0" w:line="276" w:lineRule="auto"/>
        <w:rPr>
          <w:rFonts w:ascii="Arial" w:eastAsia="Arial" w:hAnsi="Arial" w:cs="Arial"/>
        </w:rPr>
      </w:pPr>
      <w:r w:rsidRPr="004135C6">
        <w:rPr>
          <w:rFonts w:ascii="Arial" w:eastAsia="Arial" w:hAnsi="Arial" w:cs="Arial"/>
        </w:rPr>
        <w:t xml:space="preserve">Total dynamic head (TDH) = Static head (SH) + Dynamic head (DH) </w:t>
      </w:r>
    </w:p>
    <w:p w14:paraId="3624FCE1" w14:textId="77777777" w:rsidR="00B22A2E" w:rsidRPr="004135C6" w:rsidRDefault="00660087">
      <w:pPr>
        <w:widowControl w:val="0"/>
        <w:spacing w:before="288" w:after="0" w:line="276" w:lineRule="auto"/>
        <w:rPr>
          <w:rFonts w:ascii="Arial" w:eastAsia="Arial" w:hAnsi="Arial" w:cs="Arial"/>
          <w:i/>
        </w:rPr>
      </w:pPr>
      <w:r w:rsidRPr="004135C6">
        <w:rPr>
          <w:rFonts w:ascii="Arial" w:eastAsia="Arial" w:hAnsi="Arial" w:cs="Arial"/>
          <w:i/>
        </w:rPr>
        <w:t>In hydraulics, we express “heads” in height of water column in feet.</w:t>
      </w:r>
    </w:p>
    <w:p w14:paraId="44060932" w14:textId="77777777" w:rsidR="00B22A2E" w:rsidRPr="004135C6" w:rsidRDefault="00660087">
      <w:pPr>
        <w:widowControl w:val="0"/>
        <w:spacing w:before="288" w:after="0" w:line="276" w:lineRule="auto"/>
        <w:rPr>
          <w:rFonts w:ascii="Arial" w:eastAsia="Arial" w:hAnsi="Arial" w:cs="Arial"/>
          <w:vertAlign w:val="superscript"/>
        </w:rPr>
      </w:pPr>
      <w:r w:rsidRPr="004135C6">
        <w:rPr>
          <w:rFonts w:ascii="Arial" w:eastAsia="Arial" w:hAnsi="Arial" w:cs="Arial"/>
        </w:rPr>
        <w:t>For a force main piping system</w:t>
      </w:r>
      <w:r>
        <w:rPr>
          <w:rFonts w:ascii="Arial" w:eastAsia="Arial" w:hAnsi="Arial" w:cs="Arial"/>
        </w:rPr>
        <w:t>,</w:t>
      </w:r>
      <w:r w:rsidRPr="004135C6">
        <w:rPr>
          <w:rFonts w:ascii="Arial" w:eastAsia="Arial" w:hAnsi="Arial" w:cs="Arial"/>
        </w:rPr>
        <w:t xml:space="preserve"> the static head is constant, but the dynamic head changes with flowrate. It is a power relationship described as DH = k </w:t>
      </w:r>
      <w:r w:rsidRPr="004135C6">
        <w:rPr>
          <w:rFonts w:ascii="Arial" w:eastAsia="Arial" w:hAnsi="Arial" w:cs="Arial"/>
          <w:i/>
        </w:rPr>
        <w:t xml:space="preserve">x </w:t>
      </w:r>
      <w:r w:rsidRPr="004135C6">
        <w:rPr>
          <w:rFonts w:ascii="Arial" w:eastAsia="Arial" w:hAnsi="Arial" w:cs="Arial"/>
        </w:rPr>
        <w:t>Q</w:t>
      </w:r>
      <w:r w:rsidRPr="004135C6">
        <w:rPr>
          <w:rFonts w:ascii="Arial" w:eastAsia="Arial" w:hAnsi="Arial" w:cs="Arial"/>
          <w:vertAlign w:val="superscript"/>
        </w:rPr>
        <w:t xml:space="preserve">1.85 </w:t>
      </w:r>
    </w:p>
    <w:p w14:paraId="369BAB9D" w14:textId="77777777" w:rsidR="00660087" w:rsidRDefault="00660087">
      <w:pPr>
        <w:widowControl w:val="0"/>
        <w:spacing w:before="288" w:after="0" w:line="276" w:lineRule="auto"/>
        <w:rPr>
          <w:rFonts w:ascii="Arial" w:eastAsia="Arial" w:hAnsi="Arial" w:cs="Arial"/>
        </w:rPr>
      </w:pPr>
      <w:r w:rsidRPr="004135C6">
        <w:rPr>
          <w:rFonts w:ascii="Arial" w:eastAsia="Arial" w:hAnsi="Arial" w:cs="Arial"/>
        </w:rPr>
        <w:t xml:space="preserve">Therefore, TDH = SH </w:t>
      </w:r>
      <w:r w:rsidRPr="004135C6">
        <w:rPr>
          <w:rFonts w:ascii="Arial" w:eastAsia="Arial" w:hAnsi="Arial" w:cs="Arial"/>
          <w:i/>
        </w:rPr>
        <w:t xml:space="preserve">+ </w:t>
      </w:r>
      <w:r w:rsidRPr="004135C6">
        <w:rPr>
          <w:rFonts w:ascii="Arial" w:eastAsia="Arial" w:hAnsi="Arial" w:cs="Arial"/>
        </w:rPr>
        <w:t xml:space="preserve">k </w:t>
      </w:r>
      <w:r w:rsidRPr="004135C6">
        <w:rPr>
          <w:rFonts w:ascii="Arial" w:eastAsia="Arial" w:hAnsi="Arial" w:cs="Arial"/>
          <w:i/>
        </w:rPr>
        <w:t xml:space="preserve">x </w:t>
      </w:r>
      <w:r w:rsidRPr="004135C6">
        <w:rPr>
          <w:rFonts w:ascii="Arial" w:eastAsia="Arial" w:hAnsi="Arial" w:cs="Arial"/>
        </w:rPr>
        <w:t>Q</w:t>
      </w:r>
      <w:r w:rsidRPr="004135C6">
        <w:rPr>
          <w:rFonts w:ascii="Arial" w:eastAsia="Arial" w:hAnsi="Arial" w:cs="Arial"/>
          <w:vertAlign w:val="superscript"/>
        </w:rPr>
        <w:t xml:space="preserve">1.85  </w:t>
      </w:r>
      <w:r w:rsidRPr="004135C6">
        <w:rPr>
          <w:rFonts w:ascii="Arial" w:eastAsia="Arial" w:hAnsi="Arial" w:cs="Arial"/>
        </w:rPr>
        <w:t xml:space="preserve">where, SH is the static head in FT, Q is the pumping rate in GPM, and k is a constant that is a function of the piping system that takes into account the length, diameter, and pipe wall roughness. </w:t>
      </w:r>
    </w:p>
    <w:p w14:paraId="0D1387D2" w14:textId="77777777" w:rsidR="00B22A2E" w:rsidRPr="00660087" w:rsidRDefault="00660087" w:rsidP="00660087">
      <w:pPr>
        <w:pStyle w:val="ListParagraph"/>
        <w:widowControl w:val="0"/>
        <w:numPr>
          <w:ilvl w:val="0"/>
          <w:numId w:val="1"/>
        </w:numPr>
        <w:spacing w:before="288" w:after="0" w:line="276" w:lineRule="auto"/>
        <w:rPr>
          <w:rFonts w:ascii="Arial" w:eastAsia="Arial" w:hAnsi="Arial" w:cs="Arial"/>
        </w:rPr>
      </w:pPr>
      <w:r w:rsidRPr="00660087">
        <w:rPr>
          <w:rFonts w:ascii="Arial" w:eastAsia="Arial" w:hAnsi="Arial" w:cs="Arial"/>
        </w:rPr>
        <w:t>Find the equation for the head loss, TDH, for a force main system with a static head of 30 feet and a piping system k‐factor of 0.0006.</w:t>
      </w:r>
      <w:r w:rsidRPr="00660087">
        <w:rPr>
          <w:rFonts w:ascii="Arial" w:eastAsia="Arial" w:hAnsi="Arial" w:cs="Arial"/>
          <w:i/>
        </w:rPr>
        <w:t xml:space="preserve"> (It may help to think of TDH as the pressure at the beginning of the pipeline, as you try to apply common sense to these hydraulic terms.)</w:t>
      </w:r>
    </w:p>
    <w:p w14:paraId="414E3857" w14:textId="77777777" w:rsidR="00660087" w:rsidRPr="00660087" w:rsidRDefault="00660087" w:rsidP="00660087">
      <w:pPr>
        <w:pStyle w:val="ListParagraph"/>
        <w:widowControl w:val="0"/>
        <w:spacing w:before="288" w:after="0" w:line="276" w:lineRule="auto"/>
        <w:rPr>
          <w:rFonts w:ascii="Arial" w:eastAsia="Arial" w:hAnsi="Arial" w:cs="Arial"/>
        </w:rPr>
      </w:pPr>
    </w:p>
    <w:p w14:paraId="70D42C28" w14:textId="77777777" w:rsidR="00B22A2E" w:rsidRPr="00660087" w:rsidRDefault="00660087" w:rsidP="00660087">
      <w:pPr>
        <w:pStyle w:val="ListParagraph"/>
        <w:widowControl w:val="0"/>
        <w:numPr>
          <w:ilvl w:val="0"/>
          <w:numId w:val="1"/>
        </w:numPr>
        <w:spacing w:before="288" w:after="0" w:line="276" w:lineRule="auto"/>
        <w:rPr>
          <w:rFonts w:ascii="Arial" w:eastAsia="Arial" w:hAnsi="Arial" w:cs="Arial"/>
        </w:rPr>
      </w:pPr>
      <w:r w:rsidRPr="00660087">
        <w:rPr>
          <w:rFonts w:ascii="Arial" w:eastAsia="Arial" w:hAnsi="Arial" w:cs="Arial"/>
        </w:rPr>
        <w:t xml:space="preserve">What relationship exists between the pumping rate, Q and the head loss, TDH?  </w:t>
      </w:r>
    </w:p>
    <w:p w14:paraId="16AEF079" w14:textId="77777777" w:rsidR="00B22A2E" w:rsidRPr="004135C6" w:rsidRDefault="00660087">
      <w:pPr>
        <w:widowControl w:val="0"/>
        <w:spacing w:before="288" w:after="0" w:line="276" w:lineRule="auto"/>
        <w:rPr>
          <w:rFonts w:ascii="Arial" w:eastAsia="Arial" w:hAnsi="Arial" w:cs="Arial"/>
        </w:rPr>
      </w:pPr>
      <w:r w:rsidRPr="004135C6">
        <w:rPr>
          <w:rFonts w:ascii="Arial" w:eastAsia="Arial" w:hAnsi="Arial" w:cs="Arial"/>
        </w:rPr>
        <w:t xml:space="preserve">The most common pump used in wastewater conveyance is a centrifugal pump. For centrifugal pumps, the flowrate delivered by the pump is dependent on the TDH imparted by the piping system. </w:t>
      </w:r>
      <w:r w:rsidRPr="004135C6">
        <w:rPr>
          <w:noProof/>
        </w:rPr>
        <w:drawing>
          <wp:anchor distT="114300" distB="114300" distL="114300" distR="114300" simplePos="0" relativeHeight="251659264" behindDoc="0" locked="0" layoutInCell="1" hidden="0" allowOverlap="1" wp14:anchorId="0B801789" wp14:editId="4C13986B">
            <wp:simplePos x="0" y="0"/>
            <wp:positionH relativeFrom="column">
              <wp:posOffset>2076450</wp:posOffset>
            </wp:positionH>
            <wp:positionV relativeFrom="paragraph">
              <wp:posOffset>523875</wp:posOffset>
            </wp:positionV>
            <wp:extent cx="5094767" cy="2738438"/>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094767" cy="2738438"/>
                    </a:xfrm>
                    <a:prstGeom prst="rect">
                      <a:avLst/>
                    </a:prstGeom>
                    <a:ln/>
                  </pic:spPr>
                </pic:pic>
              </a:graphicData>
            </a:graphic>
          </wp:anchor>
        </w:drawing>
      </w:r>
      <w:r w:rsidRPr="004135C6">
        <w:rPr>
          <w:noProof/>
        </w:rPr>
        <w:drawing>
          <wp:anchor distT="114300" distB="114300" distL="114300" distR="114300" simplePos="0" relativeHeight="251660288" behindDoc="0" locked="0" layoutInCell="1" hidden="0" allowOverlap="1" wp14:anchorId="26CB1CCF" wp14:editId="591D062B">
            <wp:simplePos x="0" y="0"/>
            <wp:positionH relativeFrom="column">
              <wp:posOffset>1</wp:posOffset>
            </wp:positionH>
            <wp:positionV relativeFrom="paragraph">
              <wp:posOffset>1028700</wp:posOffset>
            </wp:positionV>
            <wp:extent cx="1756636" cy="1328738"/>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756636" cy="1328738"/>
                    </a:xfrm>
                    <a:prstGeom prst="rect">
                      <a:avLst/>
                    </a:prstGeom>
                    <a:ln/>
                  </pic:spPr>
                </pic:pic>
              </a:graphicData>
            </a:graphic>
          </wp:anchor>
        </w:drawing>
      </w:r>
    </w:p>
    <w:p w14:paraId="504C01D6" w14:textId="77777777" w:rsidR="00B22A2E" w:rsidRPr="004135C6" w:rsidRDefault="00B22A2E">
      <w:pPr>
        <w:widowControl w:val="0"/>
        <w:spacing w:before="240" w:after="240" w:line="276" w:lineRule="auto"/>
        <w:rPr>
          <w:rFonts w:ascii="Arial" w:eastAsia="Arial" w:hAnsi="Arial" w:cs="Arial"/>
          <w:i/>
          <w:highlight w:val="yellow"/>
        </w:rPr>
      </w:pPr>
    </w:p>
    <w:p w14:paraId="1B1CE6A8" w14:textId="77777777" w:rsidR="001925CE" w:rsidRDefault="001925CE" w:rsidP="001925CE">
      <w:pPr>
        <w:widowControl w:val="0"/>
        <w:spacing w:after="0" w:line="276" w:lineRule="auto"/>
        <w:ind w:right="249"/>
        <w:rPr>
          <w:rFonts w:ascii="Arial" w:eastAsia="Arial" w:hAnsi="Arial" w:cs="Arial"/>
        </w:rPr>
      </w:pPr>
    </w:p>
    <w:p w14:paraId="53F9DC5C" w14:textId="77777777" w:rsidR="001925CE" w:rsidRDefault="001925CE" w:rsidP="001925CE">
      <w:pPr>
        <w:widowControl w:val="0"/>
        <w:spacing w:after="0" w:line="276" w:lineRule="auto"/>
        <w:ind w:right="249"/>
        <w:rPr>
          <w:rFonts w:ascii="Arial" w:eastAsia="Arial" w:hAnsi="Arial" w:cs="Arial"/>
        </w:rPr>
      </w:pPr>
    </w:p>
    <w:p w14:paraId="726D5090" w14:textId="77777777" w:rsidR="001925CE" w:rsidRDefault="001925CE" w:rsidP="001925CE">
      <w:pPr>
        <w:widowControl w:val="0"/>
        <w:spacing w:after="0" w:line="276" w:lineRule="auto"/>
        <w:ind w:right="249"/>
        <w:rPr>
          <w:rFonts w:ascii="Arial" w:eastAsia="Arial" w:hAnsi="Arial" w:cs="Arial"/>
        </w:rPr>
      </w:pPr>
    </w:p>
    <w:p w14:paraId="0EEF4B35" w14:textId="33878E5D" w:rsidR="00B22A2E" w:rsidRPr="00660087" w:rsidRDefault="00660087" w:rsidP="001925CE">
      <w:pPr>
        <w:widowControl w:val="0"/>
        <w:spacing w:after="0" w:line="276" w:lineRule="auto"/>
        <w:ind w:right="249"/>
        <w:rPr>
          <w:rFonts w:ascii="Arial" w:eastAsia="Arial" w:hAnsi="Arial" w:cs="Arial"/>
        </w:rPr>
      </w:pPr>
      <w:r w:rsidRPr="00660087">
        <w:rPr>
          <w:rFonts w:ascii="Arial" w:eastAsia="Arial" w:hAnsi="Arial" w:cs="Arial"/>
        </w:rPr>
        <w:t xml:space="preserve">On the pump curve diagram above, two pump impeller sizes are shown: 6.5” diameter and 8” diameter. Where the pump curve and the system curve intersect is where the pump will operate. </w:t>
      </w:r>
    </w:p>
    <w:p w14:paraId="0D24E947" w14:textId="77777777" w:rsidR="00B22A2E" w:rsidRPr="00660087" w:rsidRDefault="00660087" w:rsidP="001925CE">
      <w:pPr>
        <w:pStyle w:val="ListParagraph"/>
        <w:widowControl w:val="0"/>
        <w:numPr>
          <w:ilvl w:val="0"/>
          <w:numId w:val="1"/>
        </w:numPr>
        <w:spacing w:after="0" w:line="276" w:lineRule="auto"/>
        <w:ind w:right="-720"/>
      </w:pPr>
      <w:r w:rsidRPr="00660087">
        <w:rPr>
          <w:rFonts w:ascii="Arial" w:eastAsia="Arial" w:hAnsi="Arial" w:cs="Arial"/>
        </w:rPr>
        <w:t xml:space="preserve">What is the expected pumping rate with each size impeller shown? </w:t>
      </w:r>
    </w:p>
    <w:sectPr w:rsidR="00B22A2E" w:rsidRPr="00660087" w:rsidSect="001925CE">
      <w:pgSz w:w="12240" w:h="15840"/>
      <w:pgMar w:top="576" w:right="720" w:bottom="576"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6E36FE"/>
    <w:multiLevelType w:val="hybridMultilevel"/>
    <w:tmpl w:val="B8C87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A2E"/>
    <w:rsid w:val="001925CE"/>
    <w:rsid w:val="003A061B"/>
    <w:rsid w:val="004135C6"/>
    <w:rsid w:val="00660087"/>
    <w:rsid w:val="006D61A6"/>
    <w:rsid w:val="00B22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DB6D5"/>
  <w15:docId w15:val="{817CD22A-BE77-4F12-BFC0-6C2F3A0B9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C36BA0"/>
    <w:rPr>
      <w:color w:val="0563C1" w:themeColor="hyperlink"/>
      <w:u w:val="single"/>
    </w:rPr>
  </w:style>
  <w:style w:type="paragraph" w:styleId="ListParagraph">
    <w:name w:val="List Paragraph"/>
    <w:basedOn w:val="Normal"/>
    <w:uiPriority w:val="34"/>
    <w:qFormat/>
    <w:rsid w:val="001B6AB2"/>
    <w:pPr>
      <w:ind w:left="720"/>
      <w:contextualSpacing/>
    </w:pPr>
  </w:style>
  <w:style w:type="character" w:styleId="PlaceholderText">
    <w:name w:val="Placeholder Text"/>
    <w:basedOn w:val="DefaultParagraphFont"/>
    <w:uiPriority w:val="99"/>
    <w:semiHidden/>
    <w:rsid w:val="001B6AB2"/>
    <w:rPr>
      <w:color w:val="808080"/>
    </w:rPr>
  </w:style>
  <w:style w:type="table" w:styleId="TableGrid">
    <w:name w:val="Table Grid"/>
    <w:basedOn w:val="TableNormal"/>
    <w:uiPriority w:val="39"/>
    <w:rsid w:val="00825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4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2E9"/>
    <w:rPr>
      <w:rFonts w:ascii="Tahoma" w:hAnsi="Tahoma" w:cs="Tahoma"/>
      <w:sz w:val="16"/>
      <w:szCs w:val="16"/>
    </w:rPr>
  </w:style>
  <w:style w:type="character" w:styleId="FollowedHyperlink">
    <w:name w:val="FollowedHyperlink"/>
    <w:basedOn w:val="DefaultParagraphFont"/>
    <w:uiPriority w:val="99"/>
    <w:semiHidden/>
    <w:unhideWhenUsed/>
    <w:rsid w:val="00FA2B7D"/>
    <w:rPr>
      <w:color w:val="954F72"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38B705928695449EEC210242358E40" ma:contentTypeVersion="13" ma:contentTypeDescription="Create a new document." ma:contentTypeScope="" ma:versionID="bac7ddf0dabe00e4de1e1102d0b2aba2">
  <xsd:schema xmlns:xsd="http://www.w3.org/2001/XMLSchema" xmlns:xs="http://www.w3.org/2001/XMLSchema" xmlns:p="http://schemas.microsoft.com/office/2006/metadata/properties" xmlns:ns3="b7d3e659-80d9-4b0f-93f1-936c79e774ed" xmlns:ns4="dae780b1-efc5-4913-85a0-0e54ebcf3eaf" targetNamespace="http://schemas.microsoft.com/office/2006/metadata/properties" ma:root="true" ma:fieldsID="e3a2ffc573bddc537163141d1f142a04" ns3:_="" ns4:_="">
    <xsd:import namespace="b7d3e659-80d9-4b0f-93f1-936c79e774ed"/>
    <xsd:import namespace="dae780b1-efc5-4913-85a0-0e54ebcf3e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3e659-80d9-4b0f-93f1-936c79e77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e780b1-efc5-4913-85a0-0e54ebcf3ea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1uyTr9N4F+Q2G1EgWzDWbjyLtWw==">AMUW2mWhyAgjg1oqNMd8FtvqENIOprjpKYwgF08b1lP0VwoXy0n32BXLPLzrhpbZjMca35KC0thCSBR4p2Ty4n6YWwItV3DEs9LbqAxpDSLgfELSerTEQ0QPBT/XgKbBo1uUYRMGDOJXaq95Il4PxgT6g2SGLD719g==</go:docsCustomData>
</go:gDocsCustomXmlDataStorage>
</file>

<file path=customXml/itemProps1.xml><?xml version="1.0" encoding="utf-8"?>
<ds:datastoreItem xmlns:ds="http://schemas.openxmlformats.org/officeDocument/2006/customXml" ds:itemID="{3A63C2E5-3ED1-4A73-B996-C5514935E0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210697-EFA4-459A-8B4A-A7ABF5764748}">
  <ds:schemaRefs>
    <ds:schemaRef ds:uri="http://schemas.microsoft.com/sharepoint/v3/contenttype/forms"/>
  </ds:schemaRefs>
</ds:datastoreItem>
</file>

<file path=customXml/itemProps3.xml><?xml version="1.0" encoding="utf-8"?>
<ds:datastoreItem xmlns:ds="http://schemas.openxmlformats.org/officeDocument/2006/customXml" ds:itemID="{C0AF1ED4-0ABA-4A72-A9F9-B3E232ECD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3e659-80d9-4b0f-93f1-936c79e774ed"/>
    <ds:schemaRef ds:uri="dae780b1-efc5-4913-85a0-0e54ebcf3e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Wake Technical Community College</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gray2</dc:creator>
  <cp:lastModifiedBy>Julia Hattie Smith</cp:lastModifiedBy>
  <cp:revision>4</cp:revision>
  <dcterms:created xsi:type="dcterms:W3CDTF">2021-03-17T14:43:00Z</dcterms:created>
  <dcterms:modified xsi:type="dcterms:W3CDTF">2021-03-17T19:07:00Z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0x010100D138B705928695449EEC210242358E40</vt:lpwstr>
  </property>
</Properties>
</file>